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9550B" w:rsidRDefault="00682FF0">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96193" w:rsidP="00796193">
            <w:pPr>
              <w:suppressLineNumbers/>
              <w:rPr>
                <w:b/>
                <w:bCs/>
                <w:noProof w:val="0"/>
                <w:sz w:val="26"/>
                <w:szCs w:val="26"/>
              </w:rPr>
            </w:pPr>
            <w:r>
              <w:rPr>
                <w:rFonts w:ascii="Arial" w:hAnsi="Arial" w:hint="cs"/>
                <w:b/>
                <w:bCs/>
                <w:noProof w:val="0"/>
                <w:sz w:val="26"/>
                <w:szCs w:val="26"/>
                <w:rtl/>
              </w:rPr>
              <w:t>נ'</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016F2" w:rsidP="009E461A">
            <w:pPr>
              <w:suppressLineNumbers/>
              <w:rPr>
                <w:rFonts w:ascii="Arial" w:hAnsi="Arial"/>
                <w:b/>
                <w:bCs/>
                <w:noProof w:val="0"/>
                <w:sz w:val="26"/>
                <w:szCs w:val="26"/>
              </w:rPr>
            </w:pPr>
            <w:sdt>
              <w:sdtPr>
                <w:rPr>
                  <w:rtl/>
                </w:rPr>
                <w:alias w:val="1184"/>
                <w:tag w:val="1184"/>
                <w:id w:val="-340621022"/>
                <w:text w:multiLine="1"/>
              </w:sdtPr>
              <w:sdtEndPr/>
              <w:sdtContent>
                <w:r w:rsidR="00682FF0">
                  <w:rPr>
                    <w:rFonts w:ascii="Arial" w:hAnsi="Arial" w:hint="cs"/>
                    <w:b/>
                    <w:bCs/>
                    <w:noProof w:val="0"/>
                    <w:sz w:val="26"/>
                    <w:szCs w:val="26"/>
                    <w:rtl/>
                  </w:rPr>
                  <w:t>המשיב</w:t>
                </w:r>
              </w:sdtContent>
            </w:sdt>
          </w:p>
        </w:tc>
        <w:tc>
          <w:tcPr>
            <w:tcW w:w="5571" w:type="dxa"/>
          </w:tcPr>
          <w:p w:rsidR="00CF6BB7" w:rsidRPr="009E461A" w:rsidRDefault="005016F2" w:rsidP="007C2453">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796193">
                  <w:rPr>
                    <w:rFonts w:ascii="Arial" w:hAnsi="Arial" w:hint="cs"/>
                    <w:b/>
                    <w:bCs/>
                    <w:noProof w:val="0"/>
                    <w:sz w:val="26"/>
                    <w:szCs w:val="26"/>
                    <w:rtl/>
                  </w:rPr>
                  <w:t>ס'</w:t>
                </w:r>
              </w:sdtContent>
            </w:sdt>
          </w:p>
          <w:p w:rsidR="00CF6BB7" w:rsidRPr="009E461A" w:rsidRDefault="005016F2" w:rsidP="007C2453">
            <w:pPr>
              <w:suppressLineNumbers/>
              <w:rPr>
                <w:rtl/>
              </w:rPr>
            </w:pPr>
            <w:sdt>
              <w:sdtPr>
                <w:rPr>
                  <w:rtl/>
                </w:rPr>
                <w:alias w:val="1571"/>
                <w:tag w:val="1571"/>
                <w:id w:val="-2006356001"/>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79769498"/>
                <w:placeholder>
                  <w:docPart w:val="C3B0FBA23B684176B12DDEEA2C39785F"/>
                </w:placeholder>
                <w:text w:multiLine="1"/>
              </w:sdtPr>
              <w:sdtEndPr/>
              <w:sdtContent>
                <w:r w:rsidR="00796193">
                  <w:rPr>
                    <w:rFonts w:ascii="Arial" w:hAnsi="Arial" w:hint="eastAsia"/>
                    <w:b/>
                    <w:bCs/>
                    <w:noProof w:val="0"/>
                    <w:sz w:val="26"/>
                    <w:szCs w:val="26"/>
                    <w:rtl/>
                  </w:rPr>
                  <w:t>מ</w:t>
                </w:r>
                <w:r w:rsidR="00796193">
                  <w:rPr>
                    <w:rFonts w:ascii="Arial" w:hAnsi="Arial" w:hint="cs"/>
                    <w:b/>
                    <w:bCs/>
                    <w:noProof w:val="0"/>
                    <w:sz w:val="26"/>
                    <w:szCs w:val="26"/>
                    <w:rtl/>
                  </w:rPr>
                  <w:t>'</w:t>
                </w:r>
                <w:r w:rsidR="00682FF0">
                  <w:rPr>
                    <w:rFonts w:ascii="Arial" w:hAnsi="Arial"/>
                    <w:b/>
                    <w:bCs/>
                    <w:noProof w:val="0"/>
                    <w:sz w:val="26"/>
                    <w:szCs w:val="26"/>
                    <w:rtl/>
                  </w:rPr>
                  <w:br/>
                </w:r>
                <w:r w:rsidR="00682FF0">
                  <w:rPr>
                    <w:rFonts w:ascii="Arial" w:hAnsi="Arial" w:hint="cs"/>
                    <w:b/>
                    <w:bCs/>
                    <w:noProof w:val="0"/>
                    <w:sz w:val="26"/>
                    <w:szCs w:val="26"/>
                    <w:rtl/>
                  </w:rPr>
                  <w:t xml:space="preserve"> ע"י ב"כ עו"ד י. פרדר שרון</w:t>
                </w:r>
              </w:sdtContent>
            </w:sdt>
          </w:p>
        </w:tc>
      </w:tr>
      <w:tr w:rsidR="004C17EE" w:rsidTr="00D620FD">
        <w:trPr>
          <w:jc w:val="center"/>
        </w:trPr>
        <w:tc>
          <w:tcPr>
            <w:tcW w:w="8820" w:type="dxa"/>
            <w:gridSpan w:val="3"/>
          </w:tcPr>
          <w:p w:rsidR="0059550B" w:rsidRDefault="0059550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014C75">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8C1E3E" w:rsidRDefault="00014C75" w:rsidP="00796193">
      <w:pPr>
        <w:spacing w:line="360" w:lineRule="auto"/>
        <w:ind w:firstLine="720"/>
        <w:jc w:val="both"/>
        <w:rPr>
          <w:rFonts w:ascii="David" w:hAnsi="David"/>
          <w:rtl/>
        </w:rPr>
      </w:pPr>
      <w:r>
        <w:rPr>
          <w:rFonts w:ascii="David" w:hAnsi="David"/>
          <w:rtl/>
        </w:rPr>
        <w:t xml:space="preserve">בקשת רשות ערעור על החלטת בית המשפט לענייני משפחה בחיפה (כב' הרשמת הבכירה </w:t>
      </w:r>
      <w:r w:rsidR="002B5BD9">
        <w:rPr>
          <w:rFonts w:ascii="David" w:hAnsi="David" w:hint="cs"/>
          <w:rtl/>
        </w:rPr>
        <w:t>מ. פרבר</w:t>
      </w:r>
      <w:r>
        <w:rPr>
          <w:rFonts w:ascii="David" w:hAnsi="David"/>
          <w:rtl/>
        </w:rPr>
        <w:t>) (להלן: "</w:t>
      </w:r>
      <w:r>
        <w:rPr>
          <w:rFonts w:ascii="David" w:hAnsi="David"/>
          <w:b/>
          <w:bCs/>
          <w:rtl/>
        </w:rPr>
        <w:t>בית משפט קמא</w:t>
      </w:r>
      <w:r w:rsidR="002B5BD9">
        <w:rPr>
          <w:rFonts w:ascii="David" w:hAnsi="David"/>
          <w:rtl/>
        </w:rPr>
        <w:t>") בתמ"ש</w:t>
      </w:r>
      <w:r w:rsidR="002B5BD9">
        <w:rPr>
          <w:rFonts w:ascii="David" w:hAnsi="David" w:hint="cs"/>
          <w:rtl/>
        </w:rPr>
        <w:t xml:space="preserve"> 54228-05-23 </w:t>
      </w:r>
      <w:r>
        <w:rPr>
          <w:rFonts w:ascii="David" w:hAnsi="David"/>
          <w:rtl/>
        </w:rPr>
        <w:t xml:space="preserve">מיום </w:t>
      </w:r>
      <w:r w:rsidR="00C50522">
        <w:rPr>
          <w:rFonts w:ascii="David" w:hAnsi="David" w:hint="cs"/>
          <w:rtl/>
        </w:rPr>
        <w:t xml:space="preserve">02.12.2024 </w:t>
      </w:r>
      <w:r w:rsidR="00C50522">
        <w:rPr>
          <w:rFonts w:ascii="David" w:hAnsi="David"/>
          <w:rtl/>
        </w:rPr>
        <w:t xml:space="preserve">במסגרתה </w:t>
      </w:r>
      <w:r w:rsidR="00C50522">
        <w:rPr>
          <w:rFonts w:ascii="David" w:hAnsi="David" w:hint="cs"/>
          <w:rtl/>
        </w:rPr>
        <w:t xml:space="preserve">לא שינה את החלטתו מיום 28.11.2024 בגדרה חייב את המבקשת בהפקדת ערובה בסך של 6,000 ₪ בהתאם לתקנה 157 לתקנות סדר הדין האזרחי, תשע"ט-2018, להבטחת הוצאות המשיבים וכתנאי להמשך בירור ההליך </w:t>
      </w:r>
      <w:r w:rsidR="00C50522">
        <w:rPr>
          <w:rFonts w:ascii="David" w:hAnsi="David"/>
          <w:rtl/>
        </w:rPr>
        <w:t>–</w:t>
      </w:r>
      <w:r w:rsidR="00C50522">
        <w:rPr>
          <w:rFonts w:ascii="David" w:hAnsi="David" w:hint="cs"/>
          <w:rtl/>
        </w:rPr>
        <w:t xml:space="preserve"> תביעתה לקביעת זמני שהות עם נכדתה</w:t>
      </w:r>
      <w:r w:rsidR="008C1E3E">
        <w:rPr>
          <w:rFonts w:ascii="David" w:hAnsi="David" w:hint="cs"/>
          <w:rtl/>
        </w:rPr>
        <w:t>, בתם של המשיבים.</w:t>
      </w:r>
    </w:p>
    <w:p w:rsidR="00474DA4" w:rsidRDefault="00474DA4" w:rsidP="008C1E3E">
      <w:pPr>
        <w:spacing w:line="360" w:lineRule="auto"/>
        <w:jc w:val="both"/>
        <w:rPr>
          <w:rFonts w:ascii="David" w:hAnsi="David"/>
          <w:rtl/>
        </w:rPr>
      </w:pPr>
    </w:p>
    <w:p w:rsidR="00287668" w:rsidRDefault="00474DA4" w:rsidP="00796193">
      <w:pPr>
        <w:spacing w:line="360" w:lineRule="auto"/>
        <w:ind w:firstLine="720"/>
        <w:jc w:val="both"/>
        <w:rPr>
          <w:rFonts w:ascii="David" w:hAnsi="David"/>
          <w:rtl/>
        </w:rPr>
      </w:pPr>
      <w:r>
        <w:rPr>
          <w:rFonts w:ascii="David" w:hAnsi="David" w:hint="cs"/>
          <w:rtl/>
        </w:rPr>
        <w:t>ההחלטה מיום 02.12.2024 ניתנה בפתקית וזו לשונה:"במסגרת החלטתי מיום 28.11.2024 נדרשתי לטענות הצדדים תוך בחינת השיקולים הרלוונטים להפקדת ערובה, ואין מקום לשנות ממנה"</w:t>
      </w:r>
      <w:r w:rsidR="00287668">
        <w:rPr>
          <w:rFonts w:ascii="David" w:hAnsi="David" w:hint="cs"/>
          <w:rtl/>
        </w:rPr>
        <w:t xml:space="preserve">, בעוד שההחלטה מיום 28.11.2024 ניתנה על פני מספר עמודים והיא פירטה את תולדות הסכסוך, השלב אליו הגיע ההליך, טענות הצדדים, סיכויי התביעה </w:t>
      </w:r>
      <w:r w:rsidR="007D0CB0">
        <w:rPr>
          <w:rFonts w:ascii="David" w:hAnsi="David" w:hint="cs"/>
          <w:rtl/>
        </w:rPr>
        <w:t xml:space="preserve">"שאינם גבוהים" </w:t>
      </w:r>
      <w:r w:rsidR="00796193">
        <w:rPr>
          <w:rFonts w:ascii="David" w:hAnsi="David" w:hint="cs"/>
          <w:rtl/>
        </w:rPr>
        <w:t>(</w:t>
      </w:r>
      <w:r w:rsidR="007D0CB0">
        <w:rPr>
          <w:rFonts w:ascii="David" w:hAnsi="David" w:hint="cs"/>
          <w:rtl/>
        </w:rPr>
        <w:t xml:space="preserve">לנוכח עמדת והמלצת העו"ס בגדרי </w:t>
      </w:r>
      <w:r w:rsidR="007D0CB0">
        <w:rPr>
          <w:rFonts w:ascii="David" w:hAnsi="David" w:hint="cs"/>
          <w:rtl/>
        </w:rPr>
        <w:lastRenderedPageBreak/>
        <w:t>תסקיר שהוגש לפיה לא נכון לאפשר בניית קשר בין המבקשת לבין הקטינה</w:t>
      </w:r>
      <w:r w:rsidR="00796193">
        <w:rPr>
          <w:rFonts w:ascii="David" w:hAnsi="David" w:hint="cs"/>
          <w:rtl/>
        </w:rPr>
        <w:t>),</w:t>
      </w:r>
      <w:r w:rsidR="007D0CB0">
        <w:rPr>
          <w:rFonts w:ascii="David" w:hAnsi="David" w:hint="cs"/>
          <w:rtl/>
        </w:rPr>
        <w:t xml:space="preserve"> מצבה הכלכלי של המבקשת </w:t>
      </w:r>
      <w:r w:rsidR="00322D69">
        <w:rPr>
          <w:rFonts w:ascii="David" w:hAnsi="David" w:hint="cs"/>
          <w:rtl/>
        </w:rPr>
        <w:t>"</w:t>
      </w:r>
      <w:r w:rsidR="007D0CB0">
        <w:rPr>
          <w:rFonts w:ascii="David" w:hAnsi="David" w:hint="cs"/>
          <w:rtl/>
        </w:rPr>
        <w:t>שאינ</w:t>
      </w:r>
      <w:r w:rsidR="00322D69">
        <w:rPr>
          <w:rFonts w:ascii="David" w:hAnsi="David" w:hint="cs"/>
          <w:rtl/>
        </w:rPr>
        <w:t>ו</w:t>
      </w:r>
      <w:r w:rsidR="007D0CB0">
        <w:rPr>
          <w:rFonts w:ascii="David" w:hAnsi="David" w:hint="cs"/>
          <w:rtl/>
        </w:rPr>
        <w:t xml:space="preserve"> </w:t>
      </w:r>
      <w:r w:rsidR="00322D69">
        <w:rPr>
          <w:rFonts w:ascii="David" w:hAnsi="David" w:hint="cs"/>
          <w:rtl/>
        </w:rPr>
        <w:t>מ</w:t>
      </w:r>
      <w:r w:rsidR="007D0CB0">
        <w:rPr>
          <w:rFonts w:ascii="David" w:hAnsi="David" w:hint="cs"/>
          <w:rtl/>
        </w:rPr>
        <w:t xml:space="preserve">המשופרים", זכויות הצדדים </w:t>
      </w:r>
      <w:r w:rsidR="00322D69">
        <w:rPr>
          <w:rFonts w:ascii="David" w:hAnsi="David" w:hint="cs"/>
          <w:rtl/>
        </w:rPr>
        <w:t xml:space="preserve">ו-"הקושי הממשי" לגבות </w:t>
      </w:r>
      <w:r w:rsidR="00796193">
        <w:rPr>
          <w:rFonts w:ascii="David" w:hAnsi="David" w:hint="cs"/>
          <w:rtl/>
        </w:rPr>
        <w:t xml:space="preserve">את </w:t>
      </w:r>
      <w:r w:rsidR="00322D69">
        <w:rPr>
          <w:rFonts w:ascii="David" w:hAnsi="David" w:hint="cs"/>
          <w:rtl/>
        </w:rPr>
        <w:t>ההוצאות.</w:t>
      </w:r>
    </w:p>
    <w:p w:rsidR="009F3C06" w:rsidRDefault="009F3C06" w:rsidP="008C1E3E">
      <w:pPr>
        <w:spacing w:line="360" w:lineRule="auto"/>
        <w:jc w:val="both"/>
        <w:rPr>
          <w:rFonts w:ascii="Arial" w:hAnsi="Arial"/>
          <w:noProof w:val="0"/>
          <w:rtl/>
        </w:rPr>
      </w:pPr>
    </w:p>
    <w:p w:rsidR="009F3C06" w:rsidRDefault="009F3C06" w:rsidP="00796193">
      <w:pPr>
        <w:spacing w:line="360" w:lineRule="auto"/>
        <w:ind w:firstLine="720"/>
        <w:jc w:val="both"/>
        <w:rPr>
          <w:rFonts w:ascii="Arial" w:hAnsi="Arial"/>
          <w:noProof w:val="0"/>
          <w:rtl/>
        </w:rPr>
      </w:pPr>
      <w:r>
        <w:rPr>
          <w:rFonts w:ascii="Arial" w:hAnsi="Arial" w:hint="cs"/>
          <w:noProof w:val="0"/>
          <w:rtl/>
        </w:rPr>
        <w:t>החלטתי לדון ולהכריע בבקשה לאחר שמצאתי כי המבקשת זכאית לפטור מתשלום א</w:t>
      </w:r>
      <w:r w:rsidR="00796193">
        <w:rPr>
          <w:rFonts w:ascii="Arial" w:hAnsi="Arial" w:hint="cs"/>
          <w:noProof w:val="0"/>
          <w:rtl/>
        </w:rPr>
        <w:t>גרה. נוכח התוצאה אליה הגעתי, לא ראיתי להתעכב על הבקש</w:t>
      </w:r>
      <w:r>
        <w:rPr>
          <w:rFonts w:ascii="Arial" w:hAnsi="Arial" w:hint="cs"/>
          <w:noProof w:val="0"/>
          <w:rtl/>
        </w:rPr>
        <w:t>ה לפטור מהפקדת עירבון בהליך שלפני.</w:t>
      </w:r>
    </w:p>
    <w:p w:rsidR="009F3C06" w:rsidRDefault="009F3C06" w:rsidP="008C1E3E">
      <w:pPr>
        <w:spacing w:line="360" w:lineRule="auto"/>
        <w:jc w:val="both"/>
        <w:rPr>
          <w:rFonts w:ascii="Arial" w:hAnsi="Arial"/>
          <w:noProof w:val="0"/>
          <w:rtl/>
        </w:rPr>
      </w:pPr>
    </w:p>
    <w:p w:rsidR="00AB6B12" w:rsidRDefault="00796193" w:rsidP="00796193">
      <w:pPr>
        <w:spacing w:line="360" w:lineRule="auto"/>
        <w:ind w:firstLine="720"/>
        <w:jc w:val="both"/>
        <w:rPr>
          <w:rFonts w:ascii="Arial" w:hAnsi="Arial"/>
          <w:noProof w:val="0"/>
          <w:rtl/>
        </w:rPr>
      </w:pPr>
      <w:r>
        <w:rPr>
          <w:rFonts w:ascii="Arial" w:hAnsi="Arial" w:hint="cs"/>
          <w:noProof w:val="0"/>
          <w:rtl/>
        </w:rPr>
        <w:t>מאחר שהמבקשת אינה מיוצגת,</w:t>
      </w:r>
      <w:r w:rsidR="009F3C06">
        <w:rPr>
          <w:rFonts w:ascii="Arial" w:hAnsi="Arial" w:hint="cs"/>
          <w:noProof w:val="0"/>
          <w:rtl/>
        </w:rPr>
        <w:t xml:space="preserve"> אתייחס לבקשתה </w:t>
      </w:r>
      <w:r w:rsidR="0084589E">
        <w:rPr>
          <w:rFonts w:ascii="Arial" w:hAnsi="Arial" w:hint="cs"/>
          <w:noProof w:val="0"/>
          <w:rtl/>
        </w:rPr>
        <w:t>כאל</w:t>
      </w:r>
      <w:r w:rsidR="00474DA4">
        <w:rPr>
          <w:rFonts w:ascii="Arial" w:hAnsi="Arial" w:hint="cs"/>
          <w:noProof w:val="0"/>
          <w:rtl/>
        </w:rPr>
        <w:t xml:space="preserve"> זו ה</w:t>
      </w:r>
      <w:r w:rsidR="009F3C06">
        <w:rPr>
          <w:rFonts w:ascii="Arial" w:hAnsi="Arial" w:hint="cs"/>
          <w:noProof w:val="0"/>
          <w:rtl/>
        </w:rPr>
        <w:t>מופנית כנגד ההחלטה מיום 28.11.2024</w:t>
      </w:r>
      <w:r w:rsidR="0084589E">
        <w:rPr>
          <w:rFonts w:ascii="Arial" w:hAnsi="Arial" w:hint="cs"/>
          <w:noProof w:val="0"/>
          <w:rtl/>
        </w:rPr>
        <w:t xml:space="preserve"> אשר ניתנה לאחר שהמשיבה מיצתה זכות הטיעון והתנגדה לבקשת המשיבים</w:t>
      </w:r>
      <w:r w:rsidR="00D26F49">
        <w:rPr>
          <w:rFonts w:ascii="Arial" w:hAnsi="Arial" w:hint="cs"/>
          <w:noProof w:val="0"/>
          <w:rtl/>
        </w:rPr>
        <w:t xml:space="preserve"> לחייבה בהפקדת ערובה על פי תקנה 15</w:t>
      </w:r>
      <w:r w:rsidR="00AB6B12">
        <w:rPr>
          <w:rFonts w:ascii="Arial" w:hAnsi="Arial" w:hint="cs"/>
          <w:noProof w:val="0"/>
          <w:rtl/>
        </w:rPr>
        <w:t>7</w:t>
      </w:r>
      <w:r w:rsidR="0084589E">
        <w:rPr>
          <w:rFonts w:ascii="Arial" w:hAnsi="Arial" w:hint="cs"/>
          <w:noProof w:val="0"/>
          <w:rtl/>
        </w:rPr>
        <w:t>. בבקשה המאוחרת לא היה כל חידוש, והנטען בגדרה נבחן עוד במסגרת ההחלטה מיום 28.11.2024.</w:t>
      </w:r>
    </w:p>
    <w:p w:rsidR="009F3C06" w:rsidRDefault="009F3C06" w:rsidP="009F3C06">
      <w:pPr>
        <w:spacing w:line="360" w:lineRule="auto"/>
        <w:jc w:val="both"/>
        <w:rPr>
          <w:rFonts w:ascii="Arial" w:hAnsi="Arial"/>
          <w:noProof w:val="0"/>
        </w:rPr>
      </w:pPr>
    </w:p>
    <w:p w:rsidR="008C1E3E" w:rsidRDefault="00AB6B12" w:rsidP="008C1E3E">
      <w:pPr>
        <w:spacing w:line="360" w:lineRule="auto"/>
        <w:jc w:val="both"/>
        <w:rPr>
          <w:rFonts w:ascii="Arial" w:hAnsi="Arial"/>
          <w:noProof w:val="0"/>
          <w:rtl/>
        </w:rPr>
      </w:pPr>
      <w:r>
        <w:rPr>
          <w:rFonts w:ascii="Arial" w:hAnsi="Arial"/>
          <w:noProof w:val="0"/>
          <w:rtl/>
        </w:rPr>
        <w:t>לאחר עיון בבקשה</w:t>
      </w:r>
      <w:r w:rsidR="0084589E">
        <w:rPr>
          <w:rFonts w:ascii="Arial" w:hAnsi="Arial" w:hint="cs"/>
          <w:noProof w:val="0"/>
          <w:rtl/>
        </w:rPr>
        <w:t>,</w:t>
      </w:r>
      <w:r>
        <w:rPr>
          <w:rFonts w:ascii="Arial" w:hAnsi="Arial"/>
          <w:noProof w:val="0"/>
          <w:rtl/>
        </w:rPr>
        <w:t xml:space="preserve"> </w:t>
      </w:r>
      <w:r w:rsidR="008C1E3E">
        <w:rPr>
          <w:rFonts w:ascii="Arial" w:hAnsi="Arial"/>
          <w:noProof w:val="0"/>
          <w:rtl/>
        </w:rPr>
        <w:t>בנימוקיה ו</w:t>
      </w:r>
      <w:r>
        <w:rPr>
          <w:rFonts w:ascii="Arial" w:hAnsi="Arial" w:hint="cs"/>
          <w:noProof w:val="0"/>
          <w:rtl/>
        </w:rPr>
        <w:t>ב</w:t>
      </w:r>
      <w:r w:rsidR="008C1E3E">
        <w:rPr>
          <w:rFonts w:ascii="Arial" w:hAnsi="Arial"/>
          <w:noProof w:val="0"/>
          <w:rtl/>
        </w:rPr>
        <w:t>נספחיה, אני מחליט לדחותה מבלי לבקש תשובת המשיבה, בהתאם לסמכותי לפי תקנה 138(א)(1) לתקנות סדר הדין האזרחי, התשע"ט-2018.</w:t>
      </w:r>
    </w:p>
    <w:p w:rsidR="00287668" w:rsidRDefault="00287668" w:rsidP="008C1E3E">
      <w:pPr>
        <w:spacing w:line="360" w:lineRule="auto"/>
        <w:jc w:val="both"/>
        <w:rPr>
          <w:rFonts w:ascii="Arial" w:hAnsi="Arial"/>
          <w:noProof w:val="0"/>
          <w:rtl/>
        </w:rPr>
      </w:pPr>
    </w:p>
    <w:p w:rsidR="00287668" w:rsidRDefault="00300680" w:rsidP="00796193">
      <w:pPr>
        <w:spacing w:line="360" w:lineRule="auto"/>
        <w:ind w:firstLine="720"/>
        <w:jc w:val="both"/>
        <w:rPr>
          <w:rFonts w:ascii="Arial" w:hAnsi="Arial"/>
          <w:noProof w:val="0"/>
          <w:rtl/>
        </w:rPr>
      </w:pPr>
      <w:r>
        <w:rPr>
          <w:rFonts w:ascii="Arial" w:hAnsi="Arial" w:hint="cs"/>
          <w:noProof w:val="0"/>
          <w:rtl/>
        </w:rPr>
        <w:t>בבקשה מגוללת המבקשת תולדות הסכסוך ומעלה טענות רבות כנגד ההחלטה</w:t>
      </w:r>
      <w:r w:rsidR="0075466C">
        <w:rPr>
          <w:rFonts w:ascii="Arial" w:hAnsi="Arial" w:hint="cs"/>
          <w:noProof w:val="0"/>
          <w:rtl/>
        </w:rPr>
        <w:t>,</w:t>
      </w:r>
      <w:r>
        <w:rPr>
          <w:rFonts w:ascii="Arial" w:hAnsi="Arial" w:hint="cs"/>
          <w:noProof w:val="0"/>
          <w:rtl/>
        </w:rPr>
        <w:t xml:space="preserve"> ואלה עיקרן: </w:t>
      </w:r>
      <w:r w:rsidR="00287668">
        <w:rPr>
          <w:rFonts w:ascii="Arial" w:hAnsi="Arial" w:hint="cs"/>
          <w:noProof w:val="0"/>
          <w:rtl/>
        </w:rPr>
        <w:t>ראשית, כי הבקשה הוגשה בשלב מתקדם של ניהול ההליך, ממש לקראת קיום ישיבת ההוכחות שבגדרה עתידה היתה המבקשת לחקור את העו"ס</w:t>
      </w:r>
      <w:r w:rsidR="00322D69">
        <w:rPr>
          <w:rFonts w:ascii="Arial" w:hAnsi="Arial" w:hint="cs"/>
          <w:noProof w:val="0"/>
          <w:rtl/>
        </w:rPr>
        <w:t xml:space="preserve"> ואת המשיבים</w:t>
      </w:r>
      <w:r w:rsidR="00796193">
        <w:rPr>
          <w:rFonts w:ascii="Arial" w:hAnsi="Arial" w:hint="cs"/>
          <w:noProof w:val="0"/>
          <w:rtl/>
        </w:rPr>
        <w:t>, ועל כן לא היה מקום להיעתר לבקשת המשיבים להפקדת ערובה</w:t>
      </w:r>
      <w:r w:rsidR="00322D69">
        <w:rPr>
          <w:rFonts w:ascii="Arial" w:hAnsi="Arial" w:hint="cs"/>
          <w:noProof w:val="0"/>
          <w:rtl/>
        </w:rPr>
        <w:t>;</w:t>
      </w:r>
    </w:p>
    <w:p w:rsidR="00322D69" w:rsidRDefault="00322D69" w:rsidP="008C1E3E">
      <w:pPr>
        <w:spacing w:line="360" w:lineRule="auto"/>
        <w:jc w:val="both"/>
        <w:rPr>
          <w:rFonts w:ascii="Arial" w:hAnsi="Arial"/>
          <w:noProof w:val="0"/>
          <w:rtl/>
        </w:rPr>
      </w:pPr>
      <w:r>
        <w:rPr>
          <w:rFonts w:ascii="Arial" w:hAnsi="Arial" w:hint="cs"/>
          <w:noProof w:val="0"/>
          <w:rtl/>
        </w:rPr>
        <w:lastRenderedPageBreak/>
        <w:t xml:space="preserve">שנית, כי ההחלטה </w:t>
      </w:r>
      <w:r w:rsidR="00796193">
        <w:rPr>
          <w:rFonts w:ascii="Arial" w:hAnsi="Arial" w:hint="cs"/>
          <w:noProof w:val="0"/>
          <w:rtl/>
        </w:rPr>
        <w:t>סותמת</w:t>
      </w:r>
      <w:r>
        <w:rPr>
          <w:rFonts w:ascii="Arial" w:hAnsi="Arial" w:hint="cs"/>
          <w:noProof w:val="0"/>
          <w:rtl/>
        </w:rPr>
        <w:t xml:space="preserve"> את הגולל על תביעתה ו</w:t>
      </w:r>
      <w:r w:rsidR="0075466C">
        <w:rPr>
          <w:rFonts w:ascii="Arial" w:hAnsi="Arial" w:hint="cs"/>
          <w:noProof w:val="0"/>
          <w:rtl/>
        </w:rPr>
        <w:t xml:space="preserve">על </w:t>
      </w:r>
      <w:r>
        <w:rPr>
          <w:rFonts w:ascii="Arial" w:hAnsi="Arial" w:hint="cs"/>
          <w:noProof w:val="0"/>
          <w:rtl/>
        </w:rPr>
        <w:t>זכותה לקיים קשר עם נכדתה טרם בירורה לגופה;</w:t>
      </w:r>
    </w:p>
    <w:p w:rsidR="00322D69" w:rsidRDefault="00322D69" w:rsidP="008C1E3E">
      <w:pPr>
        <w:spacing w:line="360" w:lineRule="auto"/>
        <w:jc w:val="both"/>
        <w:rPr>
          <w:rFonts w:ascii="Arial" w:hAnsi="Arial"/>
          <w:noProof w:val="0"/>
          <w:rtl/>
        </w:rPr>
      </w:pPr>
      <w:r>
        <w:rPr>
          <w:rFonts w:ascii="Arial" w:hAnsi="Arial" w:hint="cs"/>
          <w:noProof w:val="0"/>
          <w:rtl/>
        </w:rPr>
        <w:t>שלישית, כי בית משפט קמא התעלם ממצבה הכלכלי ומהחלטות רבות שניתנו בעניינה</w:t>
      </w:r>
      <w:r w:rsidR="00796193">
        <w:rPr>
          <w:rFonts w:ascii="Arial" w:hAnsi="Arial" w:hint="cs"/>
          <w:noProof w:val="0"/>
          <w:rtl/>
        </w:rPr>
        <w:t xml:space="preserve"> לרבות בבית המשפט העליון המאשרות</w:t>
      </w:r>
      <w:r>
        <w:rPr>
          <w:rFonts w:ascii="Arial" w:hAnsi="Arial" w:hint="cs"/>
          <w:noProof w:val="0"/>
          <w:rtl/>
        </w:rPr>
        <w:t xml:space="preserve"> טענותיה בעניין יכולתה הכלכלית;</w:t>
      </w:r>
    </w:p>
    <w:p w:rsidR="00300680" w:rsidRDefault="00300680" w:rsidP="008C1E3E">
      <w:pPr>
        <w:spacing w:line="360" w:lineRule="auto"/>
        <w:jc w:val="both"/>
        <w:rPr>
          <w:rFonts w:ascii="Arial" w:hAnsi="Arial"/>
          <w:noProof w:val="0"/>
          <w:rtl/>
        </w:rPr>
      </w:pPr>
      <w:r>
        <w:rPr>
          <w:rFonts w:ascii="Arial" w:hAnsi="Arial" w:hint="cs"/>
          <w:noProof w:val="0"/>
          <w:rtl/>
        </w:rPr>
        <w:t>רביעית, כי בית משפט מצא להאמין ל-"שקרים" של המשיבים</w:t>
      </w:r>
      <w:r w:rsidR="0075466C">
        <w:rPr>
          <w:rFonts w:ascii="Arial" w:hAnsi="Arial" w:hint="cs"/>
          <w:noProof w:val="0"/>
          <w:rtl/>
        </w:rPr>
        <w:t>.</w:t>
      </w:r>
    </w:p>
    <w:p w:rsidR="001D667D" w:rsidRDefault="001D667D" w:rsidP="008C1E3E">
      <w:pPr>
        <w:spacing w:line="360" w:lineRule="auto"/>
        <w:jc w:val="both"/>
        <w:rPr>
          <w:rFonts w:ascii="Arial" w:hAnsi="Arial"/>
          <w:noProof w:val="0"/>
          <w:rtl/>
        </w:rPr>
      </w:pPr>
    </w:p>
    <w:p w:rsidR="001D667D" w:rsidRDefault="0075466C" w:rsidP="00796193">
      <w:pPr>
        <w:spacing w:line="360" w:lineRule="auto"/>
        <w:ind w:firstLine="720"/>
        <w:jc w:val="both"/>
        <w:rPr>
          <w:rFonts w:ascii="David" w:hAnsi="David"/>
          <w:rtl/>
        </w:rPr>
      </w:pPr>
      <w:r>
        <w:rPr>
          <w:rFonts w:ascii="David" w:hAnsi="David" w:hint="cs"/>
          <w:rtl/>
        </w:rPr>
        <w:t xml:space="preserve">ברמ"ש 871-01-24 א' ב' נגד  ג' ב' (פורסם בנבו) (10.06.2024) התייחסתי ליישום </w:t>
      </w:r>
      <w:r w:rsidR="001D667D" w:rsidRPr="0075466C">
        <w:rPr>
          <w:rFonts w:ascii="David" w:hAnsi="David"/>
          <w:rtl/>
        </w:rPr>
        <w:t xml:space="preserve">תקנה 157 לתקנות סדר הדין האזרחי, התשע"ט </w:t>
      </w:r>
      <w:r>
        <w:rPr>
          <w:rFonts w:ascii="David" w:hAnsi="David"/>
          <w:rtl/>
        </w:rPr>
        <w:t>–</w:t>
      </w:r>
      <w:r w:rsidR="001D667D" w:rsidRPr="0075466C">
        <w:rPr>
          <w:rFonts w:ascii="David" w:hAnsi="David"/>
          <w:rtl/>
        </w:rPr>
        <w:t xml:space="preserve"> 2018</w:t>
      </w:r>
      <w:r>
        <w:rPr>
          <w:rFonts w:ascii="David" w:hAnsi="David" w:hint="cs"/>
          <w:rtl/>
        </w:rPr>
        <w:t xml:space="preserve">, </w:t>
      </w:r>
      <w:r w:rsidR="00182CC5">
        <w:rPr>
          <w:rFonts w:ascii="David" w:hAnsi="David" w:hint="cs"/>
          <w:rtl/>
        </w:rPr>
        <w:t>כשהדיון שם התמקד בשאלה האם ניתן להידרש לסוגיה זו פעם נוספת, ולהורת על הפקדה נוספת מעבר לזו שנקבעה בעבר. יחד עם זאת</w:t>
      </w:r>
      <w:r w:rsidR="00372527">
        <w:rPr>
          <w:rFonts w:ascii="David" w:hAnsi="David" w:hint="cs"/>
          <w:rtl/>
        </w:rPr>
        <w:t>,</w:t>
      </w:r>
      <w:r w:rsidR="00182CC5">
        <w:rPr>
          <w:rFonts w:ascii="David" w:hAnsi="David" w:hint="cs"/>
          <w:rtl/>
        </w:rPr>
        <w:t xml:space="preserve"> חלק מהדברים שצויינו שם בהתייחס לשיקולים המנחים והתערבות ערכאת הערעור תקפים בענייננו</w:t>
      </w:r>
      <w:r w:rsidR="00372527">
        <w:rPr>
          <w:rFonts w:ascii="David" w:hAnsi="David" w:hint="cs"/>
          <w:rtl/>
        </w:rPr>
        <w:t xml:space="preserve"> ואחזור על עיקרם.</w:t>
      </w:r>
    </w:p>
    <w:p w:rsidR="0075466C" w:rsidRDefault="0075466C" w:rsidP="001D667D">
      <w:pPr>
        <w:spacing w:line="360" w:lineRule="auto"/>
        <w:jc w:val="both"/>
        <w:rPr>
          <w:rFonts w:ascii="David" w:hAnsi="David"/>
          <w:rtl/>
        </w:rPr>
      </w:pPr>
    </w:p>
    <w:p w:rsidR="0075466C" w:rsidRPr="0075466C" w:rsidRDefault="0075466C" w:rsidP="00796193">
      <w:pPr>
        <w:spacing w:line="360" w:lineRule="auto"/>
        <w:ind w:firstLine="720"/>
        <w:jc w:val="both"/>
        <w:rPr>
          <w:rFonts w:ascii="David" w:hAnsi="David"/>
          <w:rtl/>
        </w:rPr>
      </w:pPr>
      <w:r>
        <w:rPr>
          <w:rFonts w:ascii="David" w:hAnsi="David" w:hint="cs"/>
          <w:rtl/>
        </w:rPr>
        <w:t>תקנה 157 קובעת:</w:t>
      </w:r>
    </w:p>
    <w:p w:rsidR="001D667D" w:rsidRDefault="001D667D" w:rsidP="001D667D">
      <w:pPr>
        <w:pStyle w:val="ad"/>
        <w:spacing w:line="360" w:lineRule="auto"/>
        <w:ind w:left="1076"/>
        <w:jc w:val="both"/>
        <w:rPr>
          <w:rFonts w:ascii="David" w:hAnsi="David" w:cs="David"/>
          <w:b/>
          <w:bCs/>
          <w:sz w:val="24"/>
          <w:szCs w:val="24"/>
          <w:rtl/>
        </w:rPr>
      </w:pPr>
      <w:r>
        <w:rPr>
          <w:rFonts w:ascii="David" w:hAnsi="David" w:cs="David"/>
          <w:b/>
          <w:bCs/>
          <w:sz w:val="24"/>
          <w:szCs w:val="24"/>
          <w:rtl/>
        </w:rPr>
        <w:t>(א) בית המשפט רשאי, אם נראה לו הדבר, לצוות על תובע לתת ערובה לתשלום הוצאותיו של נתבע.</w:t>
      </w:r>
    </w:p>
    <w:p w:rsidR="001D667D" w:rsidRDefault="001D667D" w:rsidP="001D667D">
      <w:pPr>
        <w:pStyle w:val="ad"/>
        <w:spacing w:line="360" w:lineRule="auto"/>
        <w:ind w:left="1076"/>
        <w:jc w:val="both"/>
        <w:rPr>
          <w:rFonts w:ascii="David" w:hAnsi="David" w:cs="David"/>
          <w:b/>
          <w:bCs/>
          <w:sz w:val="24"/>
          <w:szCs w:val="24"/>
          <w:rtl/>
        </w:rPr>
      </w:pPr>
      <w:r>
        <w:rPr>
          <w:rFonts w:ascii="David" w:hAnsi="David" w:cs="David"/>
          <w:b/>
          <w:bCs/>
          <w:sz w:val="24"/>
          <w:szCs w:val="24"/>
          <w:rtl/>
        </w:rPr>
        <w:t>(ב) לא ניתנה הערובה בתוך המועד שהורה, יימחק כתב התביעה.</w:t>
      </w:r>
    </w:p>
    <w:p w:rsidR="001D667D" w:rsidRDefault="001D667D" w:rsidP="001D667D">
      <w:pPr>
        <w:pStyle w:val="ad"/>
        <w:spacing w:line="360" w:lineRule="auto"/>
        <w:ind w:left="1076"/>
        <w:jc w:val="both"/>
        <w:rPr>
          <w:rFonts w:ascii="David" w:hAnsi="David" w:cs="David"/>
          <w:b/>
          <w:bCs/>
          <w:sz w:val="24"/>
          <w:szCs w:val="24"/>
          <w:rtl/>
        </w:rPr>
      </w:pPr>
    </w:p>
    <w:p w:rsidR="001D667D" w:rsidRDefault="001D667D" w:rsidP="00796193">
      <w:pPr>
        <w:spacing w:line="360" w:lineRule="auto"/>
        <w:ind w:firstLine="720"/>
        <w:jc w:val="both"/>
        <w:rPr>
          <w:rFonts w:ascii="David" w:hAnsi="David"/>
          <w:rtl/>
        </w:rPr>
      </w:pPr>
      <w:r w:rsidRPr="001D667D">
        <w:rPr>
          <w:rFonts w:ascii="David" w:hAnsi="David"/>
          <w:rtl/>
        </w:rPr>
        <w:t xml:space="preserve">במסגרת ההחלטה על הפקדת ערובה, יש לשקול בין היתר את סיכויי התביעה ומורכבות ההליך, מצבו הכלכלי של יוזם ההליך, מועד הגשת הבקשה ומועד הדיון בה בהתאם לשלב שבו מצוי ההליך, זהות הצדדים, התנהלותם ותום ליבם (רע"א 4339/19 </w:t>
      </w:r>
      <w:r w:rsidRPr="001D667D">
        <w:rPr>
          <w:rFonts w:ascii="David" w:hAnsi="David"/>
          <w:b/>
          <w:bCs/>
          <w:rtl/>
        </w:rPr>
        <w:t>קילקר נ' נועם</w:t>
      </w:r>
      <w:r w:rsidRPr="001D667D">
        <w:rPr>
          <w:rFonts w:ascii="David" w:hAnsi="David"/>
          <w:rtl/>
        </w:rPr>
        <w:t>, [פורסם בנבו] פסקה 12 (27.8.2019)).</w:t>
      </w:r>
      <w:r w:rsidR="001B4FFE">
        <w:rPr>
          <w:rFonts w:ascii="David" w:hAnsi="David" w:hint="cs"/>
          <w:rtl/>
        </w:rPr>
        <w:t xml:space="preserve"> </w:t>
      </w:r>
    </w:p>
    <w:p w:rsidR="001B4FFE" w:rsidRDefault="001B4FFE" w:rsidP="001D667D">
      <w:pPr>
        <w:spacing w:line="360" w:lineRule="auto"/>
        <w:jc w:val="both"/>
        <w:rPr>
          <w:rFonts w:ascii="David" w:hAnsi="David"/>
          <w:rtl/>
        </w:rPr>
      </w:pPr>
    </w:p>
    <w:p w:rsidR="001B4FFE" w:rsidRPr="001D667D" w:rsidRDefault="001B4FFE" w:rsidP="00796193">
      <w:pPr>
        <w:spacing w:line="360" w:lineRule="auto"/>
        <w:ind w:firstLine="720"/>
        <w:jc w:val="both"/>
        <w:rPr>
          <w:rFonts w:ascii="David" w:hAnsi="David"/>
          <w:rtl/>
        </w:rPr>
      </w:pPr>
      <w:r>
        <w:rPr>
          <w:rFonts w:ascii="David" w:hAnsi="David" w:hint="cs"/>
          <w:rtl/>
        </w:rPr>
        <w:t>עיון בהחלטה מעלה כי בית משפט קמא שקל ובחן את מלוא השיקולים הרלונטים וערך את האיזון הנכון ביניהם</w:t>
      </w:r>
      <w:r w:rsidR="00796193">
        <w:rPr>
          <w:rFonts w:ascii="David" w:hAnsi="David" w:hint="cs"/>
          <w:rtl/>
        </w:rPr>
        <w:t>,</w:t>
      </w:r>
      <w:r>
        <w:rPr>
          <w:rFonts w:ascii="David" w:hAnsi="David" w:hint="cs"/>
          <w:rtl/>
        </w:rPr>
        <w:t xml:space="preserve"> לאחר שנתן את דעתו לכלל הנסיבות הצריכות לענייננו, ולאחר שלא נעלמו מעיניו מצבה הכלכלי של המבקשת או ההשלכות שעלולות להיות להחלטתו, לרבות </w:t>
      </w:r>
      <w:r w:rsidR="00796193">
        <w:rPr>
          <w:rFonts w:ascii="David" w:hAnsi="David" w:hint="cs"/>
          <w:rtl/>
        </w:rPr>
        <w:t xml:space="preserve">על </w:t>
      </w:r>
      <w:r>
        <w:rPr>
          <w:rFonts w:ascii="David" w:hAnsi="David" w:hint="cs"/>
          <w:rtl/>
        </w:rPr>
        <w:t>זכות הגישה לערכאות</w:t>
      </w:r>
      <w:r w:rsidR="00372527">
        <w:rPr>
          <w:rFonts w:ascii="David" w:hAnsi="David" w:hint="cs"/>
          <w:rtl/>
        </w:rPr>
        <w:t>, זכות יסוד בשיטתנו.</w:t>
      </w:r>
    </w:p>
    <w:p w:rsidR="00014C75" w:rsidRPr="0075466C" w:rsidRDefault="00014C75" w:rsidP="00014C75">
      <w:pPr>
        <w:spacing w:line="360" w:lineRule="auto"/>
        <w:jc w:val="both"/>
        <w:rPr>
          <w:rFonts w:ascii="David" w:hAnsi="David"/>
        </w:rPr>
      </w:pPr>
    </w:p>
    <w:p w:rsidR="001A4148" w:rsidRDefault="00182CC5" w:rsidP="00796193">
      <w:pPr>
        <w:spacing w:line="360" w:lineRule="auto"/>
        <w:ind w:firstLine="720"/>
        <w:jc w:val="both"/>
        <w:rPr>
          <w:rFonts w:ascii="David" w:hAnsi="David"/>
          <w:rtl/>
        </w:rPr>
      </w:pPr>
      <w:r>
        <w:rPr>
          <w:rFonts w:ascii="David" w:hAnsi="David" w:hint="cs"/>
          <w:rtl/>
        </w:rPr>
        <w:t>אשר למועד בו ניתנה ההחלטה; על פי לשון התקנה, ב</w:t>
      </w:r>
      <w:r w:rsidR="00014C75" w:rsidRPr="001D667D">
        <w:rPr>
          <w:rFonts w:ascii="David" w:hAnsi="David"/>
          <w:rtl/>
        </w:rPr>
        <w:t>קשה לחיוב תובע בהפקדת ערובה לשם הבטחת ה</w:t>
      </w:r>
      <w:r w:rsidR="0075466C">
        <w:rPr>
          <w:rFonts w:ascii="David" w:hAnsi="David"/>
          <w:rtl/>
        </w:rPr>
        <w:t>וצאות הנתבע ניתן להגיש בכל שלב</w:t>
      </w:r>
      <w:r w:rsidR="009834D8">
        <w:rPr>
          <w:rFonts w:ascii="David" w:hAnsi="David" w:hint="cs"/>
          <w:rtl/>
        </w:rPr>
        <w:t>. על כן לא מצאתי כי נפל פגם בהחלטה משום מועד קבלתה. אמנם רצוי שהחלטות מסוג זה יינתנו בשלב יותר מוקדם, אולם לרוב</w:t>
      </w:r>
      <w:r w:rsidR="00796193">
        <w:rPr>
          <w:rFonts w:ascii="David" w:hAnsi="David" w:hint="cs"/>
          <w:rtl/>
        </w:rPr>
        <w:t>,</w:t>
      </w:r>
      <w:r w:rsidR="009834D8">
        <w:rPr>
          <w:rFonts w:ascii="David" w:hAnsi="David" w:hint="cs"/>
          <w:rtl/>
        </w:rPr>
        <w:t xml:space="preserve"> הערכת סיכויי התביעה בתחילת ההליך אינה חפה מקשיים</w:t>
      </w:r>
      <w:r w:rsidR="001A4148">
        <w:rPr>
          <w:rFonts w:ascii="David" w:hAnsi="David" w:hint="cs"/>
          <w:rtl/>
        </w:rPr>
        <w:t>,</w:t>
      </w:r>
      <w:r w:rsidR="009834D8">
        <w:rPr>
          <w:rFonts w:ascii="David" w:hAnsi="David" w:hint="cs"/>
          <w:rtl/>
        </w:rPr>
        <w:t xml:space="preserve"> כאשר התמונה מתבהרת בשלבים מ</w:t>
      </w:r>
      <w:r w:rsidR="001A4148">
        <w:rPr>
          <w:rFonts w:ascii="David" w:hAnsi="David" w:hint="cs"/>
          <w:rtl/>
        </w:rPr>
        <w:t>אוחרים</w:t>
      </w:r>
      <w:r w:rsidR="009834D8">
        <w:rPr>
          <w:rFonts w:ascii="David" w:hAnsi="David" w:hint="cs"/>
          <w:rtl/>
        </w:rPr>
        <w:t xml:space="preserve">, בעיקר עת </w:t>
      </w:r>
      <w:r w:rsidR="001A4148">
        <w:rPr>
          <w:rFonts w:ascii="David" w:hAnsi="David" w:hint="cs"/>
          <w:rtl/>
        </w:rPr>
        <w:t xml:space="preserve">ההערכה נשענת על חוות דעתם המקצועית של מומחים מטעם בית משפט או אנשי מקצוע אחרים דוגמת ע"וס לסדרי דין. אמנם ההכרעה תמיד מסורה לשיקול דעתו של בית משפט שאינו כפוף לאותן חוות דעת, אולם לא </w:t>
      </w:r>
      <w:r w:rsidR="00796193">
        <w:rPr>
          <w:rFonts w:ascii="David" w:hAnsi="David" w:hint="cs"/>
          <w:rtl/>
        </w:rPr>
        <w:t>ניתן להתעלם ממשקלן של אלה</w:t>
      </w:r>
      <w:r w:rsidR="001A4148">
        <w:rPr>
          <w:rFonts w:ascii="David" w:hAnsi="David" w:hint="cs"/>
          <w:rtl/>
        </w:rPr>
        <w:t xml:space="preserve"> עת עסקינן בחוות דעת יחידה, והדברים אמורים במיוחד בהליכים לפני בית משפט לעניני משפחה.</w:t>
      </w:r>
    </w:p>
    <w:p w:rsidR="007E2CF1" w:rsidRDefault="007E2CF1" w:rsidP="007E2CF1">
      <w:pPr>
        <w:spacing w:line="360" w:lineRule="auto"/>
        <w:jc w:val="both"/>
        <w:rPr>
          <w:rFonts w:ascii="David" w:hAnsi="David"/>
          <w:rtl/>
        </w:rPr>
      </w:pPr>
    </w:p>
    <w:p w:rsidR="007E2CF1" w:rsidRDefault="00796193" w:rsidP="00796193">
      <w:pPr>
        <w:spacing w:line="360" w:lineRule="auto"/>
        <w:ind w:firstLine="720"/>
        <w:jc w:val="both"/>
        <w:rPr>
          <w:rFonts w:ascii="David" w:hAnsi="David"/>
          <w:rtl/>
        </w:rPr>
      </w:pPr>
      <w:r>
        <w:rPr>
          <w:rFonts w:ascii="David" w:hAnsi="David" w:hint="cs"/>
          <w:rtl/>
        </w:rPr>
        <w:t>ודוק: הגם</w:t>
      </w:r>
      <w:r w:rsidR="007E2CF1">
        <w:rPr>
          <w:rFonts w:ascii="David" w:hAnsi="David" w:hint="cs"/>
          <w:rtl/>
        </w:rPr>
        <w:t xml:space="preserve"> </w:t>
      </w:r>
      <w:r>
        <w:rPr>
          <w:rFonts w:ascii="David" w:hAnsi="David" w:hint="cs"/>
          <w:rtl/>
        </w:rPr>
        <w:t>ש</w:t>
      </w:r>
      <w:r w:rsidR="007E2CF1">
        <w:rPr>
          <w:rFonts w:ascii="David" w:hAnsi="David" w:hint="cs"/>
          <w:rtl/>
        </w:rPr>
        <w:t>ההליך בבי</w:t>
      </w:r>
      <w:r>
        <w:rPr>
          <w:rFonts w:ascii="David" w:hAnsi="David" w:hint="cs"/>
          <w:rtl/>
        </w:rPr>
        <w:t>ת משפט קמא הגיע לשלב מתקדם, אלא</w:t>
      </w:r>
      <w:r w:rsidR="007E2CF1">
        <w:rPr>
          <w:rFonts w:ascii="David" w:hAnsi="David" w:hint="cs"/>
          <w:rtl/>
        </w:rPr>
        <w:t xml:space="preserve"> </w:t>
      </w:r>
      <w:r>
        <w:rPr>
          <w:rFonts w:ascii="David" w:hAnsi="David" w:hint="cs"/>
          <w:rtl/>
        </w:rPr>
        <w:t>ש</w:t>
      </w:r>
      <w:r w:rsidR="007E2CF1">
        <w:rPr>
          <w:rFonts w:ascii="David" w:hAnsi="David" w:hint="cs"/>
          <w:rtl/>
        </w:rPr>
        <w:t xml:space="preserve">השלב המשמעותי עדין לפנינו </w:t>
      </w:r>
      <w:r w:rsidR="007E2CF1">
        <w:rPr>
          <w:rFonts w:ascii="David" w:hAnsi="David"/>
          <w:rtl/>
        </w:rPr>
        <w:t>–</w:t>
      </w:r>
      <w:r w:rsidR="007E2CF1">
        <w:rPr>
          <w:rFonts w:ascii="David" w:hAnsi="David" w:hint="cs"/>
          <w:rtl/>
        </w:rPr>
        <w:t xml:space="preserve"> שלב שמיעת הראיות וחקירת עדים או בעלי דין</w:t>
      </w:r>
      <w:r w:rsidR="00372527">
        <w:rPr>
          <w:rFonts w:ascii="David" w:hAnsi="David" w:hint="cs"/>
          <w:rtl/>
        </w:rPr>
        <w:t>, ובהמשך הגשת סיכומים, ואלה כרוכים בעלויות משמעותיות.</w:t>
      </w:r>
    </w:p>
    <w:p w:rsidR="0097023B" w:rsidRDefault="0097023B" w:rsidP="009834D8">
      <w:pPr>
        <w:spacing w:line="360" w:lineRule="auto"/>
        <w:jc w:val="both"/>
        <w:rPr>
          <w:rFonts w:ascii="David" w:hAnsi="David"/>
          <w:rtl/>
        </w:rPr>
      </w:pPr>
    </w:p>
    <w:p w:rsidR="0097023B" w:rsidRPr="001D667D" w:rsidRDefault="0097023B" w:rsidP="00796193">
      <w:pPr>
        <w:spacing w:line="360" w:lineRule="auto"/>
        <w:ind w:firstLine="720"/>
        <w:jc w:val="both"/>
        <w:rPr>
          <w:rFonts w:ascii="David" w:hAnsi="David"/>
          <w:rtl/>
        </w:rPr>
      </w:pPr>
      <w:r w:rsidRPr="001D667D">
        <w:rPr>
          <w:rFonts w:ascii="David" w:hAnsi="David"/>
          <w:rtl/>
        </w:rPr>
        <w:t xml:space="preserve">ברע"א 1875/21 </w:t>
      </w:r>
      <w:r w:rsidRPr="001D667D">
        <w:rPr>
          <w:rFonts w:ascii="David" w:hAnsi="David"/>
          <w:b/>
          <w:bCs/>
          <w:rtl/>
        </w:rPr>
        <w:t>יוסף שחם נ' אגף מס הכנסה</w:t>
      </w:r>
      <w:r w:rsidRPr="001D667D">
        <w:rPr>
          <w:rFonts w:ascii="David" w:hAnsi="David"/>
          <w:rtl/>
        </w:rPr>
        <w:t xml:space="preserve"> [פורסם בנבו] (23.05.2021) קבע בית המשפט</w:t>
      </w:r>
      <w:r w:rsidR="007E2CF1">
        <w:rPr>
          <w:rFonts w:ascii="David" w:hAnsi="David"/>
          <w:rtl/>
        </w:rPr>
        <w:t xml:space="preserve"> העליון (כב' השופט ע' גרוסקופף)</w:t>
      </w:r>
      <w:r w:rsidRPr="001D667D">
        <w:rPr>
          <w:rFonts w:ascii="David" w:hAnsi="David"/>
          <w:rtl/>
        </w:rPr>
        <w:t>:</w:t>
      </w:r>
    </w:p>
    <w:p w:rsidR="0097023B" w:rsidRDefault="0097023B" w:rsidP="0097023B">
      <w:pPr>
        <w:pStyle w:val="ad"/>
        <w:rPr>
          <w:rFonts w:ascii="David" w:hAnsi="David" w:cs="David"/>
          <w:sz w:val="24"/>
          <w:szCs w:val="24"/>
        </w:rPr>
      </w:pPr>
    </w:p>
    <w:p w:rsidR="0097023B" w:rsidRDefault="0097023B" w:rsidP="0097023B">
      <w:pPr>
        <w:pStyle w:val="ad"/>
        <w:spacing w:line="360" w:lineRule="auto"/>
        <w:jc w:val="both"/>
        <w:rPr>
          <w:rFonts w:ascii="David" w:hAnsi="David" w:cs="David"/>
          <w:b/>
          <w:bCs/>
          <w:sz w:val="24"/>
          <w:szCs w:val="24"/>
        </w:rPr>
      </w:pPr>
      <w:r>
        <w:rPr>
          <w:rFonts w:ascii="David" w:hAnsi="David" w:cs="David"/>
          <w:b/>
          <w:bCs/>
          <w:sz w:val="24"/>
          <w:szCs w:val="24"/>
          <w:rtl/>
        </w:rPr>
        <w:t xml:space="preserve">"הלכה היא כי החלטות הנוגעות להפקדת ערובה הן החלטות דיוניות-ניהוליות באופיין, המצויות בגדר שיקול דעתה הרחב של הערכאה המבררת. משכך תימנע ערכאת הערעור מלהתערב בהן, אלא במקרים חריגים בהם ההחלטה ניתנה בניגוד לדין או שהיא גורמת לעיוות דין </w:t>
      </w:r>
      <w:r>
        <w:rPr>
          <w:rFonts w:ascii="David" w:hAnsi="David" w:cs="David"/>
          <w:sz w:val="24"/>
          <w:szCs w:val="24"/>
          <w:rtl/>
        </w:rPr>
        <w:t xml:space="preserve">(רע"א 6857/19 </w:t>
      </w:r>
      <w:r>
        <w:rPr>
          <w:rFonts w:ascii="David" w:hAnsi="David" w:cs="David"/>
          <w:b/>
          <w:bCs/>
          <w:sz w:val="24"/>
          <w:szCs w:val="24"/>
          <w:rtl/>
        </w:rPr>
        <w:t>שחם נ' רו"ח יואב כפיר</w:t>
      </w:r>
      <w:r>
        <w:rPr>
          <w:rFonts w:ascii="David" w:hAnsi="David" w:cs="David"/>
          <w:sz w:val="24"/>
          <w:szCs w:val="24"/>
          <w:rtl/>
        </w:rPr>
        <w:t xml:space="preserve">, [פורסם בנבו] פסקה 9 (3.11.2019); רע"א 7799/20 </w:t>
      </w:r>
      <w:r>
        <w:rPr>
          <w:rFonts w:ascii="David" w:hAnsi="David" w:cs="David"/>
          <w:b/>
          <w:bCs/>
          <w:sz w:val="24"/>
          <w:szCs w:val="24"/>
          <w:rtl/>
        </w:rPr>
        <w:t>רומנו נ' עיריית נתניה</w:t>
      </w:r>
      <w:r>
        <w:rPr>
          <w:rFonts w:ascii="David" w:hAnsi="David" w:cs="David"/>
          <w:sz w:val="24"/>
          <w:szCs w:val="24"/>
          <w:rtl/>
        </w:rPr>
        <w:t xml:space="preserve">, [פורסם בנבו] פסקה 8 (24.11.2020); רע"א 4339/19 </w:t>
      </w:r>
      <w:r>
        <w:rPr>
          <w:rFonts w:ascii="David" w:hAnsi="David" w:cs="David"/>
          <w:b/>
          <w:bCs/>
          <w:sz w:val="24"/>
          <w:szCs w:val="24"/>
          <w:rtl/>
        </w:rPr>
        <w:t>קילקר נ' נועם</w:t>
      </w:r>
      <w:r>
        <w:rPr>
          <w:rFonts w:ascii="David" w:hAnsi="David" w:cs="David"/>
          <w:sz w:val="24"/>
          <w:szCs w:val="24"/>
          <w:rtl/>
        </w:rPr>
        <w:t>, [פורסם בנבו] פסקה 12 (27.8.2019) (להלן: עניין קילקר)).</w:t>
      </w:r>
      <w:r>
        <w:rPr>
          <w:rFonts w:ascii="David" w:hAnsi="David" w:cs="David"/>
          <w:b/>
          <w:bCs/>
          <w:sz w:val="24"/>
          <w:szCs w:val="24"/>
          <w:rtl/>
        </w:rPr>
        <w:t xml:space="preserve"> בבסיס סמכותו של בית המשפט לחייב צד להליך בהפקדת ערובה להבטחת הוצאותיו של הצד שכנגד, שתי תכליות מרכזיות: הראשונה, הנלמדת מלשונה, היא הבטחת תשלום הוצאותיו של הצד הפסיבי ("הנתבע"), ככל שבסופו של יום יידחה ההליך בו מדובר וייפסקו הוצאות לטובתו; השנייה, היא מניעת ניצול לרעה של זכות הגישה לערכאות והרתעה מפני הגשת הליכי סרק – תביעות, בקשות, או ערעורים, לפי העניין. בבוא בית המשפט להכריע בבקשה להפקדת ערובה להבטחת הוצאות, עליו לאזן שתי תכליות אלו – הבטחת תשלום הוצאות הצד הפסיבי והרתעה מפני הגשת הליכי סרק – עם זכות הגישה של יוזם ההליך לערכאות, אשר מהווה זכות יסוד בשיטתנו המשפטית.". </w:t>
      </w:r>
    </w:p>
    <w:p w:rsidR="0097023B" w:rsidRPr="0097023B" w:rsidRDefault="0097023B" w:rsidP="009834D8">
      <w:pPr>
        <w:spacing w:line="360" w:lineRule="auto"/>
        <w:jc w:val="both"/>
        <w:rPr>
          <w:rFonts w:ascii="David" w:hAnsi="David"/>
          <w:rtl/>
        </w:rPr>
      </w:pPr>
    </w:p>
    <w:p w:rsidR="00372527" w:rsidRDefault="00372527" w:rsidP="00796193">
      <w:pPr>
        <w:spacing w:line="360" w:lineRule="auto"/>
        <w:ind w:firstLine="720"/>
        <w:jc w:val="both"/>
        <w:rPr>
          <w:rFonts w:ascii="Arial" w:hAnsi="Arial"/>
          <w:noProof w:val="0"/>
          <w:rtl/>
        </w:rPr>
      </w:pPr>
      <w:r>
        <w:rPr>
          <w:rFonts w:ascii="Arial" w:hAnsi="Arial" w:hint="cs"/>
          <w:noProof w:val="0"/>
          <w:rtl/>
        </w:rPr>
        <w:t xml:space="preserve">כאמור ולאחר בחינה, </w:t>
      </w:r>
      <w:r w:rsidR="007E2CF1">
        <w:rPr>
          <w:rFonts w:ascii="Arial" w:hAnsi="Arial" w:hint="cs"/>
          <w:noProof w:val="0"/>
          <w:rtl/>
        </w:rPr>
        <w:t xml:space="preserve">לא שוכנעתי כי נפלה שגגה בהחלטת בית משפט קמא המחייבת התערבות ערכאת הערעור וכי לא ערך האיזון הנכון בין שתי התכליות </w:t>
      </w:r>
      <w:r w:rsidR="007E2CF1">
        <w:rPr>
          <w:rFonts w:ascii="Arial" w:hAnsi="Arial"/>
          <w:noProof w:val="0"/>
          <w:rtl/>
        </w:rPr>
        <w:t>–</w:t>
      </w:r>
      <w:r w:rsidR="00796193">
        <w:rPr>
          <w:rFonts w:ascii="Arial" w:hAnsi="Arial" w:hint="cs"/>
          <w:noProof w:val="0"/>
          <w:rtl/>
        </w:rPr>
        <w:t xml:space="preserve"> הבטחת תשלום הוצאות הצד השני ו</w:t>
      </w:r>
      <w:r w:rsidR="007E2CF1">
        <w:rPr>
          <w:rFonts w:ascii="Arial" w:hAnsi="Arial" w:hint="cs"/>
          <w:noProof w:val="0"/>
          <w:rtl/>
        </w:rPr>
        <w:t>זכות הגישה לערכאות.</w:t>
      </w:r>
    </w:p>
    <w:p w:rsidR="00327C26" w:rsidRDefault="00327C26" w:rsidP="00014C75">
      <w:pPr>
        <w:spacing w:line="360" w:lineRule="auto"/>
        <w:jc w:val="both"/>
        <w:rPr>
          <w:rFonts w:ascii="Arial" w:hAnsi="Arial"/>
          <w:noProof w:val="0"/>
          <w:rtl/>
        </w:rPr>
      </w:pPr>
    </w:p>
    <w:p w:rsidR="00327C26" w:rsidRDefault="00327C26" w:rsidP="00796193">
      <w:pPr>
        <w:spacing w:line="360" w:lineRule="auto"/>
        <w:ind w:firstLine="720"/>
        <w:jc w:val="both"/>
        <w:rPr>
          <w:rFonts w:ascii="Arial" w:hAnsi="Arial"/>
          <w:noProof w:val="0"/>
          <w:rtl/>
        </w:rPr>
      </w:pPr>
      <w:r>
        <w:rPr>
          <w:rFonts w:ascii="Arial" w:hAnsi="Arial" w:hint="cs"/>
          <w:noProof w:val="0"/>
          <w:rtl/>
        </w:rPr>
        <w:t>משלא התבקשה תשובה, אין צו להוצאות.</w:t>
      </w:r>
    </w:p>
    <w:p w:rsidR="00014C75" w:rsidRDefault="007E2CF1" w:rsidP="00014C75">
      <w:pPr>
        <w:spacing w:line="360" w:lineRule="auto"/>
        <w:jc w:val="both"/>
        <w:rPr>
          <w:rFonts w:ascii="Arial" w:hAnsi="Arial"/>
          <w:noProof w:val="0"/>
        </w:rPr>
      </w:pPr>
      <w:r>
        <w:rPr>
          <w:rFonts w:ascii="Arial" w:hAnsi="Arial" w:hint="cs"/>
          <w:noProof w:val="0"/>
          <w:rtl/>
        </w:rPr>
        <w:lastRenderedPageBreak/>
        <w:t xml:space="preserve"> </w:t>
      </w:r>
    </w:p>
    <w:p w:rsidR="00014C75" w:rsidRDefault="00014C75" w:rsidP="00014C75">
      <w:pPr>
        <w:spacing w:line="360" w:lineRule="auto"/>
        <w:jc w:val="both"/>
        <w:rPr>
          <w:rFonts w:ascii="Arial" w:hAnsi="Arial"/>
          <w:noProof w:val="0"/>
          <w:rtl/>
        </w:rPr>
      </w:pPr>
      <w:r>
        <w:rPr>
          <w:rFonts w:ascii="Arial" w:hAnsi="Arial"/>
          <w:noProof w:val="0"/>
          <w:rtl/>
        </w:rPr>
        <w:t>מותר לפרסום לאחר מחיקת שמות הצדדים והשמטת פרטים מזהים.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דצמבר 2024</w:t>
          </w:r>
        </w:sdtContent>
      </w:sdt>
      <w:r w:rsidR="00005C8B">
        <w:rPr>
          <w:rFonts w:ascii="Arial" w:hAnsi="Arial"/>
          <w:noProof w:val="0"/>
          <w:rtl/>
        </w:rPr>
        <w:t>, בהעדר הצדדים.</w:t>
      </w:r>
    </w:p>
    <w:p w:rsidR="00C43648" w:rsidRDefault="005016F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10730233"/>
        </w:sdtPr>
        <w:sdtEndPr/>
        <w:sdtContent>
          <w:r w:rsidR="004F3B4B">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6F2" w:rsidRDefault="005016F2">
      <w:r>
        <w:separator/>
      </w:r>
    </w:p>
  </w:endnote>
  <w:endnote w:type="continuationSeparator" w:id="0">
    <w:p w:rsidR="005016F2" w:rsidRDefault="0050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2B126A">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2B126A">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6F2" w:rsidRDefault="005016F2">
      <w:r>
        <w:separator/>
      </w:r>
    </w:p>
  </w:footnote>
  <w:footnote w:type="continuationSeparator" w:id="0">
    <w:p w:rsidR="005016F2" w:rsidRDefault="00501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016F2"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22229-12-24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96193">
                <w:rPr>
                  <w:b/>
                  <w:bCs/>
                  <w:noProof w:val="0"/>
                  <w:sz w:val="26"/>
                  <w:szCs w:val="26"/>
                  <w:rtl/>
                </w:rPr>
                <w:t>ז</w:t>
              </w:r>
              <w:r w:rsidR="00796193">
                <w:rPr>
                  <w:rFonts w:hint="cs"/>
                  <w:b/>
                  <w:bCs/>
                  <w:noProof w:val="0"/>
                  <w:sz w:val="26"/>
                  <w:szCs w:val="26"/>
                  <w:rtl/>
                </w:rPr>
                <w:t>'</w:t>
              </w:r>
              <w:r w:rsidR="00796193">
                <w:rPr>
                  <w:b/>
                  <w:bCs/>
                  <w:noProof w:val="0"/>
                  <w:sz w:val="26"/>
                  <w:szCs w:val="26"/>
                  <w:rtl/>
                </w:rPr>
                <w:t xml:space="preserve"> נ' ס</w:t>
              </w:r>
              <w:r w:rsidR="00796193">
                <w:rPr>
                  <w:rFonts w:hint="cs"/>
                  <w:b/>
                  <w:bCs/>
                  <w:noProof w:val="0"/>
                  <w:sz w:val="26"/>
                  <w:szCs w:val="26"/>
                  <w:rtl/>
                </w:rPr>
                <w:t xml:space="preserve">' </w:t>
              </w:r>
              <w:r w:rsidR="00424313">
                <w:rPr>
                  <w:b/>
                  <w:bCs/>
                  <w:noProof w:val="0"/>
                  <w:sz w:val="26"/>
                  <w:szCs w:val="26"/>
                  <w:rtl/>
                </w:rPr>
                <w:t>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2505DB"/>
    <w:multiLevelType w:val="hybridMultilevel"/>
    <w:tmpl w:val="ED0C98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4C75"/>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82CC5"/>
    <w:rsid w:val="00191C82"/>
    <w:rsid w:val="001A4148"/>
    <w:rsid w:val="001B4FFE"/>
    <w:rsid w:val="001C4003"/>
    <w:rsid w:val="001D4DBF"/>
    <w:rsid w:val="001D667D"/>
    <w:rsid w:val="001E75CA"/>
    <w:rsid w:val="002265FF"/>
    <w:rsid w:val="00271B56"/>
    <w:rsid w:val="00272E32"/>
    <w:rsid w:val="00287668"/>
    <w:rsid w:val="002936E2"/>
    <w:rsid w:val="002B126A"/>
    <w:rsid w:val="002B5BD9"/>
    <w:rsid w:val="002C344E"/>
    <w:rsid w:val="002E75E9"/>
    <w:rsid w:val="002F0B1E"/>
    <w:rsid w:val="00300680"/>
    <w:rsid w:val="00307A6A"/>
    <w:rsid w:val="00307C40"/>
    <w:rsid w:val="00320433"/>
    <w:rsid w:val="00322D69"/>
    <w:rsid w:val="003230C7"/>
    <w:rsid w:val="00327C26"/>
    <w:rsid w:val="00327E50"/>
    <w:rsid w:val="0033597A"/>
    <w:rsid w:val="00343D89"/>
    <w:rsid w:val="00362612"/>
    <w:rsid w:val="0036743F"/>
    <w:rsid w:val="003715DD"/>
    <w:rsid w:val="00372527"/>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74DA4"/>
    <w:rsid w:val="004C17EE"/>
    <w:rsid w:val="004C4BDF"/>
    <w:rsid w:val="004D1187"/>
    <w:rsid w:val="004D3AA0"/>
    <w:rsid w:val="004E1987"/>
    <w:rsid w:val="004E2E15"/>
    <w:rsid w:val="004E6E3C"/>
    <w:rsid w:val="004F3B4B"/>
    <w:rsid w:val="005016F2"/>
    <w:rsid w:val="00502A64"/>
    <w:rsid w:val="00520898"/>
    <w:rsid w:val="00523621"/>
    <w:rsid w:val="00524986"/>
    <w:rsid w:val="005268F6"/>
    <w:rsid w:val="00534284"/>
    <w:rsid w:val="0054140F"/>
    <w:rsid w:val="00547DB7"/>
    <w:rsid w:val="00557717"/>
    <w:rsid w:val="005761A0"/>
    <w:rsid w:val="00576A86"/>
    <w:rsid w:val="0059550B"/>
    <w:rsid w:val="005F4F09"/>
    <w:rsid w:val="00603F73"/>
    <w:rsid w:val="0061431B"/>
    <w:rsid w:val="00622BAA"/>
    <w:rsid w:val="006306CF"/>
    <w:rsid w:val="00644E9A"/>
    <w:rsid w:val="00671BD5"/>
    <w:rsid w:val="006805C1"/>
    <w:rsid w:val="00682FF0"/>
    <w:rsid w:val="00686ABA"/>
    <w:rsid w:val="00686C21"/>
    <w:rsid w:val="006931C1"/>
    <w:rsid w:val="00694556"/>
    <w:rsid w:val="006C30C5"/>
    <w:rsid w:val="006D3B31"/>
    <w:rsid w:val="006E0D96"/>
    <w:rsid w:val="006E1A53"/>
    <w:rsid w:val="006F56E6"/>
    <w:rsid w:val="00704EDA"/>
    <w:rsid w:val="00721122"/>
    <w:rsid w:val="00734689"/>
    <w:rsid w:val="007351F7"/>
    <w:rsid w:val="00753019"/>
    <w:rsid w:val="0075466C"/>
    <w:rsid w:val="00754801"/>
    <w:rsid w:val="00761441"/>
    <w:rsid w:val="00791026"/>
    <w:rsid w:val="00795365"/>
    <w:rsid w:val="00796193"/>
    <w:rsid w:val="007A351D"/>
    <w:rsid w:val="007B7765"/>
    <w:rsid w:val="007C2453"/>
    <w:rsid w:val="007C5BDD"/>
    <w:rsid w:val="007D0CB0"/>
    <w:rsid w:val="007D45E3"/>
    <w:rsid w:val="007E2CF1"/>
    <w:rsid w:val="007E6115"/>
    <w:rsid w:val="007F4609"/>
    <w:rsid w:val="00805EFF"/>
    <w:rsid w:val="00814468"/>
    <w:rsid w:val="008176A1"/>
    <w:rsid w:val="00820005"/>
    <w:rsid w:val="00844318"/>
    <w:rsid w:val="0084589E"/>
    <w:rsid w:val="00860102"/>
    <w:rsid w:val="00863F5D"/>
    <w:rsid w:val="00870890"/>
    <w:rsid w:val="00873602"/>
    <w:rsid w:val="00875D12"/>
    <w:rsid w:val="00876170"/>
    <w:rsid w:val="0088479D"/>
    <w:rsid w:val="00891F42"/>
    <w:rsid w:val="00896889"/>
    <w:rsid w:val="008A6E97"/>
    <w:rsid w:val="008C1E3E"/>
    <w:rsid w:val="008C5714"/>
    <w:rsid w:val="008D0E2A"/>
    <w:rsid w:val="008D10B2"/>
    <w:rsid w:val="00903896"/>
    <w:rsid w:val="00906F3D"/>
    <w:rsid w:val="0094424E"/>
    <w:rsid w:val="00955642"/>
    <w:rsid w:val="009622DF"/>
    <w:rsid w:val="0096493F"/>
    <w:rsid w:val="00967DFF"/>
    <w:rsid w:val="0097023B"/>
    <w:rsid w:val="009834D8"/>
    <w:rsid w:val="00994341"/>
    <w:rsid w:val="009D1A48"/>
    <w:rsid w:val="009E1CE7"/>
    <w:rsid w:val="009E461A"/>
    <w:rsid w:val="009E4EA5"/>
    <w:rsid w:val="009F164B"/>
    <w:rsid w:val="009F323C"/>
    <w:rsid w:val="009F3C06"/>
    <w:rsid w:val="00A3392B"/>
    <w:rsid w:val="00A46717"/>
    <w:rsid w:val="00A85E34"/>
    <w:rsid w:val="00A9144F"/>
    <w:rsid w:val="00A94B64"/>
    <w:rsid w:val="00AA3229"/>
    <w:rsid w:val="00AA7596"/>
    <w:rsid w:val="00AB3AE3"/>
    <w:rsid w:val="00AB5E52"/>
    <w:rsid w:val="00AB6B12"/>
    <w:rsid w:val="00AC3B02"/>
    <w:rsid w:val="00AC3B7B"/>
    <w:rsid w:val="00AC5209"/>
    <w:rsid w:val="00AE0E34"/>
    <w:rsid w:val="00AE729E"/>
    <w:rsid w:val="00AE7752"/>
    <w:rsid w:val="00AF7FDA"/>
    <w:rsid w:val="00B5356E"/>
    <w:rsid w:val="00B57031"/>
    <w:rsid w:val="00B809AD"/>
    <w:rsid w:val="00B80CBD"/>
    <w:rsid w:val="00B859C5"/>
    <w:rsid w:val="00B86096"/>
    <w:rsid w:val="00B964D9"/>
    <w:rsid w:val="00BA0A7C"/>
    <w:rsid w:val="00BA517C"/>
    <w:rsid w:val="00BB3D05"/>
    <w:rsid w:val="00BB53D3"/>
    <w:rsid w:val="00BB6C45"/>
    <w:rsid w:val="00BB73BE"/>
    <w:rsid w:val="00BC2D89"/>
    <w:rsid w:val="00BD6531"/>
    <w:rsid w:val="00BE05B2"/>
    <w:rsid w:val="00BF1908"/>
    <w:rsid w:val="00C22D93"/>
    <w:rsid w:val="00C23458"/>
    <w:rsid w:val="00C23AC9"/>
    <w:rsid w:val="00C31120"/>
    <w:rsid w:val="00C34482"/>
    <w:rsid w:val="00C43648"/>
    <w:rsid w:val="00C50522"/>
    <w:rsid w:val="00C50A9F"/>
    <w:rsid w:val="00C642FA"/>
    <w:rsid w:val="00C770E3"/>
    <w:rsid w:val="00CC7622"/>
    <w:rsid w:val="00CD608F"/>
    <w:rsid w:val="00CF6BB7"/>
    <w:rsid w:val="00D04AA4"/>
    <w:rsid w:val="00D14166"/>
    <w:rsid w:val="00D26F49"/>
    <w:rsid w:val="00D27982"/>
    <w:rsid w:val="00D33B86"/>
    <w:rsid w:val="00D44968"/>
    <w:rsid w:val="00D53924"/>
    <w:rsid w:val="00D55D0C"/>
    <w:rsid w:val="00D96D8C"/>
    <w:rsid w:val="00DA2495"/>
    <w:rsid w:val="00DA6649"/>
    <w:rsid w:val="00DB2A5F"/>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649DE"/>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14C75"/>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98471">
      <w:bodyDiv w:val="1"/>
      <w:marLeft w:val="0"/>
      <w:marRight w:val="0"/>
      <w:marTop w:val="0"/>
      <w:marBottom w:val="0"/>
      <w:divBdr>
        <w:top w:val="none" w:sz="0" w:space="0" w:color="auto"/>
        <w:left w:val="none" w:sz="0" w:space="0" w:color="auto"/>
        <w:bottom w:val="none" w:sz="0" w:space="0" w:color="auto"/>
        <w:right w:val="none" w:sz="0" w:space="0" w:color="auto"/>
      </w:divBdr>
    </w:div>
    <w:div w:id="116046251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83C31"/>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25B"/>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909</Words>
  <Characters>4549</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2024-12-22T09:31:00Z</dcterms:created>
  <dcterms:modified xsi:type="dcterms:W3CDTF">2024-12-22T09:31:00Z</dcterms:modified>
</cp:coreProperties>
</file>